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A5C02" w14:textId="77777777" w:rsidR="00FE5BB0" w:rsidRDefault="00FE5BB0" w:rsidP="00FE5BB0">
      <w:pPr>
        <w:pStyle w:val="Header"/>
      </w:pPr>
      <w:r>
        <w:t>Benjamin Krawciw</w:t>
      </w:r>
    </w:p>
    <w:p w14:paraId="31F864C9" w14:textId="77777777" w:rsidR="00FE5BB0" w:rsidRDefault="00FE5BB0" w:rsidP="00FE5BB0">
      <w:pPr>
        <w:pStyle w:val="Header"/>
      </w:pPr>
      <w:r>
        <w:t>4/22/20</w:t>
      </w:r>
    </w:p>
    <w:p w14:paraId="213F455E" w14:textId="17E8D6E0" w:rsidR="00FE5BB0" w:rsidRDefault="00FE5BB0" w:rsidP="00FE5BB0">
      <w:pPr>
        <w:pStyle w:val="Header"/>
      </w:pPr>
      <w:r>
        <w:t>Physics of Complexity</w:t>
      </w:r>
      <w:r>
        <w:t xml:space="preserve"> Science</w:t>
      </w:r>
    </w:p>
    <w:p w14:paraId="03913975" w14:textId="5AFB5096" w:rsidR="005B1173" w:rsidRPr="00081EB1" w:rsidRDefault="00A8274B" w:rsidP="00A8274B">
      <w:pPr>
        <w:jc w:val="center"/>
        <w:rPr>
          <w:sz w:val="40"/>
          <w:szCs w:val="36"/>
          <w:u w:val="single"/>
        </w:rPr>
      </w:pPr>
      <w:r w:rsidRPr="00081EB1">
        <w:rPr>
          <w:sz w:val="40"/>
          <w:szCs w:val="36"/>
          <w:u w:val="single"/>
        </w:rPr>
        <w:t>Project 2 Part 3 Writeup</w:t>
      </w:r>
    </w:p>
    <w:p w14:paraId="566A01B4" w14:textId="7EB416D4" w:rsidR="00CB5AA4" w:rsidRPr="00081EB1" w:rsidRDefault="00CB5AA4" w:rsidP="00CB5AA4">
      <w:pPr>
        <w:rPr>
          <w:b/>
          <w:bCs/>
          <w:sz w:val="32"/>
          <w:szCs w:val="28"/>
        </w:rPr>
      </w:pPr>
      <w:r w:rsidRPr="00081EB1">
        <w:rPr>
          <w:b/>
          <w:bCs/>
          <w:sz w:val="32"/>
          <w:szCs w:val="28"/>
        </w:rPr>
        <w:t>Re-Creating the Washington Post’s Disease Model</w:t>
      </w:r>
    </w:p>
    <w:p w14:paraId="08A93E35" w14:textId="7D246844" w:rsidR="00DD2BB7" w:rsidRDefault="00DD2BB7" w:rsidP="00DD2BB7">
      <w:pPr>
        <w:jc w:val="center"/>
      </w:pPr>
      <w:r>
        <w:t>For the first part of this assignment, the “</w:t>
      </w:r>
      <w:proofErr w:type="spellStart"/>
      <w:r>
        <w:t>Simulitis</w:t>
      </w:r>
      <w:proofErr w:type="spellEnd"/>
      <w:r>
        <w:t xml:space="preserve">” agent-based model of disease spread from </w:t>
      </w:r>
      <w:hyperlink r:id="rId8" w:history="1">
        <w:r w:rsidRPr="00C6060E">
          <w:rPr>
            <w:rStyle w:val="Hyperlink"/>
          </w:rPr>
          <w:t>https://www.washingtonpost.com/graphics/2020/world/corona-simulator/</w:t>
        </w:r>
      </w:hyperlink>
      <w:r>
        <w:t xml:space="preserve"> has been recreated. This version of the model is contained in “BenSimulitis.py.” The results of this-recreation are shown below:</w:t>
      </w:r>
    </w:p>
    <w:tbl>
      <w:tblPr>
        <w:tblStyle w:val="TableGrid"/>
        <w:tblW w:w="27714" w:type="dxa"/>
        <w:tblLook w:val="04A0" w:firstRow="1" w:lastRow="0" w:firstColumn="1" w:lastColumn="0" w:noHBand="0" w:noVBand="1"/>
      </w:tblPr>
      <w:tblGrid>
        <w:gridCol w:w="6927"/>
        <w:gridCol w:w="6927"/>
        <w:gridCol w:w="6930"/>
        <w:gridCol w:w="6930"/>
      </w:tblGrid>
      <w:tr w:rsidR="00DD2BB7" w14:paraId="31FD756A" w14:textId="77777777" w:rsidTr="00315D01">
        <w:trPr>
          <w:trHeight w:val="2507"/>
        </w:trPr>
        <w:tc>
          <w:tcPr>
            <w:tcW w:w="6927" w:type="dxa"/>
          </w:tcPr>
          <w:p w14:paraId="0910D4C0" w14:textId="77777777" w:rsidR="00DD2BB7" w:rsidRDefault="00DD2BB7" w:rsidP="00DD2BB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Free for All</w:t>
            </w:r>
          </w:p>
          <w:p w14:paraId="774B5909" w14:textId="599D174F" w:rsidR="00DD2BB7" w:rsidRPr="00DD2BB7" w:rsidRDefault="00DD2BB7" w:rsidP="00DD2BB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940C22" wp14:editId="20BFCD81">
                  <wp:extent cx="3429000" cy="6858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ree for All.gif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7" w:type="dxa"/>
          </w:tcPr>
          <w:p w14:paraId="7BA9CF18" w14:textId="77777777" w:rsidR="00DD2BB7" w:rsidRDefault="00DD2BB7" w:rsidP="00DD2BB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Attempted Quarantine</w:t>
            </w:r>
          </w:p>
          <w:p w14:paraId="20A3A27C" w14:textId="4A44D8A4" w:rsidR="00DD2BB7" w:rsidRPr="00DD2BB7" w:rsidRDefault="00DD2BB7" w:rsidP="00DD2BB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E37ECAF" wp14:editId="0E9ACC49">
                  <wp:extent cx="3429000" cy="6858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ttempted quarantine.gi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0" w:type="dxa"/>
          </w:tcPr>
          <w:p w14:paraId="671642D8" w14:textId="77777777" w:rsidR="00DD2BB7" w:rsidRDefault="00DD2BB7" w:rsidP="00DD2BB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Moderate Isolation</w:t>
            </w:r>
          </w:p>
          <w:p w14:paraId="409D3E65" w14:textId="51232EAD" w:rsidR="00DD2BB7" w:rsidRPr="00DD2BB7" w:rsidRDefault="00DD2BB7" w:rsidP="00DD2BB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DC289B9" wp14:editId="64C25C09">
                  <wp:extent cx="3429000" cy="6858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Moderate Isolation fifty percent.gi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0" w:type="dxa"/>
          </w:tcPr>
          <w:p w14:paraId="4B994C97" w14:textId="77777777" w:rsidR="00DD2BB7" w:rsidRDefault="00DD2BB7" w:rsidP="00DD2BB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Major Isolation</w:t>
            </w:r>
          </w:p>
          <w:p w14:paraId="6B6F903D" w14:textId="78AAD04E" w:rsidR="00DD2BB7" w:rsidRPr="00DD2BB7" w:rsidRDefault="00DD2BB7" w:rsidP="00DD2BB7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C064077" wp14:editId="0F187114">
                  <wp:extent cx="3429000" cy="6858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ajor Isolation ninety percent.gif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C0FEE6" w14:textId="61B616B6" w:rsidR="00DD2BB7" w:rsidRDefault="00DD2BB7" w:rsidP="00DD2BB7">
      <w:pPr>
        <w:jc w:val="center"/>
      </w:pPr>
    </w:p>
    <w:p w14:paraId="21922C32" w14:textId="0CFAACD6" w:rsidR="005B289A" w:rsidRPr="00081EB1" w:rsidRDefault="00CB5AA4" w:rsidP="00CB5AA4">
      <w:pPr>
        <w:rPr>
          <w:b/>
          <w:bCs/>
          <w:sz w:val="32"/>
          <w:szCs w:val="28"/>
        </w:rPr>
      </w:pPr>
      <w:r w:rsidRPr="00081EB1">
        <w:rPr>
          <w:b/>
          <w:bCs/>
          <w:sz w:val="32"/>
          <w:szCs w:val="28"/>
        </w:rPr>
        <w:t xml:space="preserve">Comparing </w:t>
      </w:r>
      <w:proofErr w:type="spellStart"/>
      <w:r w:rsidRPr="00081EB1">
        <w:rPr>
          <w:b/>
          <w:bCs/>
          <w:sz w:val="32"/>
          <w:szCs w:val="28"/>
        </w:rPr>
        <w:t>Simulitis</w:t>
      </w:r>
      <w:proofErr w:type="spellEnd"/>
      <w:r w:rsidRPr="00081EB1">
        <w:rPr>
          <w:b/>
          <w:bCs/>
          <w:sz w:val="32"/>
          <w:szCs w:val="28"/>
        </w:rPr>
        <w:t xml:space="preserve"> to Schelling’s Model</w:t>
      </w:r>
    </w:p>
    <w:p w14:paraId="07C53CCD" w14:textId="4DFB4171" w:rsidR="00CB5AA4" w:rsidRDefault="005D6AB0" w:rsidP="005D6AB0">
      <w:pPr>
        <w:jc w:val="center"/>
      </w:pPr>
      <w:r>
        <w:t xml:space="preserve">Let us begin by discussing Schelling’s model. In Chapter 9 of </w:t>
      </w:r>
      <w:r>
        <w:rPr>
          <w:i/>
          <w:iCs/>
        </w:rPr>
        <w:t>Think Complexity,</w:t>
      </w:r>
      <w:r>
        <w:t xml:space="preserve"> Downey describes the model as a collection of dots on a grid. Those dots have a certain color. The dots prefer not to be outnumbered by dots of the opposite color, so they will move to a different square if the percentage of opposite-colored neighbors exceeds a certain number. As a result, a simulation that starts as a homogeneous mix of the two colors will become completely segregated, despite the dots only having a preference not to be extremely outnumbered. An example of this simulation, taken from </w:t>
      </w:r>
      <w:hyperlink r:id="rId13" w:history="1">
        <w:r w:rsidRPr="00C6060E">
          <w:rPr>
            <w:rStyle w:val="Hyperlink"/>
          </w:rPr>
          <w:t>https://www.r-bloggers.com/animating-schellings-segregation-model/</w:t>
        </w:r>
      </w:hyperlink>
      <w:r>
        <w:t>, is shown below.</w:t>
      </w:r>
    </w:p>
    <w:p w14:paraId="3B0A6238" w14:textId="3BD99C3F" w:rsidR="005D6AB0" w:rsidRDefault="005D6AB0" w:rsidP="005D6AB0">
      <w:pPr>
        <w:jc w:val="center"/>
      </w:pPr>
      <w:r>
        <w:rPr>
          <w:noProof/>
        </w:rPr>
        <w:drawing>
          <wp:inline distT="0" distB="0" distL="0" distR="0" wp14:anchorId="264BFF1F" wp14:editId="7F3BCBE0">
            <wp:extent cx="4572000" cy="4572000"/>
            <wp:effectExtent l="0" t="0" r="0" b="0"/>
            <wp:docPr id="9" name="Picture 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lling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5BAD" w14:textId="05FBEB17" w:rsidR="005D6AB0" w:rsidRPr="005D6AB0" w:rsidRDefault="007D49B4" w:rsidP="005D6AB0">
      <w:pPr>
        <w:jc w:val="center"/>
      </w:pPr>
      <w:r>
        <w:t xml:space="preserve">Like Schelling’s model, </w:t>
      </w:r>
      <w:proofErr w:type="spellStart"/>
      <w:r>
        <w:t>Simulitis</w:t>
      </w:r>
      <w:proofErr w:type="spellEnd"/>
      <w:r>
        <w:t xml:space="preserve"> is an agent-based model. In both, agents have certain properties, they make decisions based on those properties, and those decisions affect the properties of the other agents. As a result, both simulations demonstrate an emergent property, separate from the rules of the simulation itself. Schelling’s model creates segregated living communities, and </w:t>
      </w:r>
      <w:proofErr w:type="spellStart"/>
      <w:r>
        <w:t>Simulitis</w:t>
      </w:r>
      <w:proofErr w:type="spellEnd"/>
      <w:r>
        <w:t xml:space="preserve"> creates a</w:t>
      </w:r>
      <w:r w:rsidR="00EF4AE4">
        <w:t>n</w:t>
      </w:r>
      <w:r>
        <w:t xml:space="preserve"> </w:t>
      </w:r>
      <w:r w:rsidR="00EF4AE4">
        <w:t>epi</w:t>
      </w:r>
      <w:r>
        <w:t xml:space="preserve">demic, with curve-flattening properties dependent on the input parameters. </w:t>
      </w:r>
      <w:r w:rsidR="00EF4AE4">
        <w:t xml:space="preserve">However, Schelling’s model differs from </w:t>
      </w:r>
      <w:proofErr w:type="spellStart"/>
      <w:r w:rsidR="00EF4AE4">
        <w:t>Simulitis</w:t>
      </w:r>
      <w:proofErr w:type="spellEnd"/>
      <w:r w:rsidR="00EF4AE4">
        <w:t xml:space="preserve"> in the particulars. Schelling’s agents are restricted to a grid; </w:t>
      </w:r>
      <w:proofErr w:type="spellStart"/>
      <w:r w:rsidR="00EF4AE4">
        <w:t>Simulitis</w:t>
      </w:r>
      <w:proofErr w:type="spellEnd"/>
      <w:r w:rsidR="00EF4AE4">
        <w:t xml:space="preserve"> agents can float around a square, colliding with other agents and the box. Schelling’s agents have a race property, which is permanent; </w:t>
      </w:r>
      <w:proofErr w:type="spellStart"/>
      <w:r w:rsidR="00EF4AE4">
        <w:t>Simulitis</w:t>
      </w:r>
      <w:proofErr w:type="spellEnd"/>
      <w:r w:rsidR="00EF4AE4">
        <w:t xml:space="preserve"> agents have an infection property, which changes based on circumstances. Schelling’s agents all make the same decisions; </w:t>
      </w:r>
      <w:proofErr w:type="spellStart"/>
      <w:r w:rsidR="00EF4AE4">
        <w:t>Simulitis</w:t>
      </w:r>
      <w:proofErr w:type="spellEnd"/>
      <w:r w:rsidR="00EF4AE4">
        <w:t xml:space="preserve"> agents pull randomly from a bank of decisions. </w:t>
      </w:r>
    </w:p>
    <w:p w14:paraId="6921EE71" w14:textId="2C767B3E" w:rsidR="00CB5AA4" w:rsidRPr="00081EB1" w:rsidRDefault="00CB5AA4" w:rsidP="00CB5AA4">
      <w:pPr>
        <w:rPr>
          <w:b/>
          <w:bCs/>
          <w:sz w:val="32"/>
          <w:szCs w:val="28"/>
        </w:rPr>
      </w:pPr>
      <w:bookmarkStart w:id="0" w:name="_GoBack"/>
      <w:r w:rsidRPr="00081EB1">
        <w:rPr>
          <w:b/>
          <w:bCs/>
          <w:sz w:val="32"/>
          <w:szCs w:val="28"/>
        </w:rPr>
        <w:t xml:space="preserve">Improving </w:t>
      </w:r>
      <w:proofErr w:type="spellStart"/>
      <w:r w:rsidRPr="00081EB1">
        <w:rPr>
          <w:b/>
          <w:bCs/>
          <w:sz w:val="32"/>
          <w:szCs w:val="28"/>
        </w:rPr>
        <w:t>Simulitis</w:t>
      </w:r>
      <w:proofErr w:type="spellEnd"/>
    </w:p>
    <w:bookmarkEnd w:id="0"/>
    <w:p w14:paraId="5862C19A" w14:textId="6DF501EC" w:rsidR="00EF4AE4" w:rsidRDefault="00EF4AE4" w:rsidP="00EF4AE4">
      <w:pPr>
        <w:jc w:val="center"/>
      </w:pPr>
      <w:r>
        <w:t xml:space="preserve">The </w:t>
      </w:r>
      <w:proofErr w:type="spellStart"/>
      <w:r>
        <w:t>Simulitis</w:t>
      </w:r>
      <w:proofErr w:type="spellEnd"/>
      <w:r>
        <w:t xml:space="preserve"> simulation is not perfect. Models are always simplifications, and it is up to the model-designer to include (and only include) the properties necessary for simulating the desired emergent property. In particular, </w:t>
      </w:r>
      <w:proofErr w:type="spellStart"/>
      <w:r>
        <w:t>Simulitis</w:t>
      </w:r>
      <w:proofErr w:type="spellEnd"/>
      <w:r>
        <w:t xml:space="preserve"> can be improved for modeling </w:t>
      </w:r>
      <w:r w:rsidR="00AA4058">
        <w:t xml:space="preserve">certain scenarios of </w:t>
      </w:r>
      <w:r>
        <w:t>COVID-19 in these ways: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AA4058" w14:paraId="0DC5FB7C" w14:textId="77777777" w:rsidTr="00315D01">
        <w:trPr>
          <w:jc w:val="center"/>
        </w:trPr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74C889C5" w14:textId="77777777" w:rsidR="00AA4058" w:rsidRDefault="00AA4058" w:rsidP="00AA4058">
            <w:pPr>
              <w:pStyle w:val="ListParagraph"/>
              <w:numPr>
                <w:ilvl w:val="0"/>
                <w:numId w:val="1"/>
              </w:numPr>
            </w:pPr>
            <w:r>
              <w:t>Incubation periods can be accounted for by switching from an SIR model to an SEIR model.</w:t>
            </w:r>
          </w:p>
          <w:p w14:paraId="4C5A3FFB" w14:textId="5F6E1216" w:rsidR="00AA4058" w:rsidRDefault="00AA4058" w:rsidP="00AA4058">
            <w:pPr>
              <w:pStyle w:val="ListParagraph"/>
              <w:numPr>
                <w:ilvl w:val="0"/>
                <w:numId w:val="1"/>
              </w:numPr>
            </w:pPr>
            <w:r>
              <w:t>If agent decisions depend on the seriousness of the virus, compliance with self-isolation could be made dependent on the number of infected individuals.</w:t>
            </w:r>
          </w:p>
          <w:p w14:paraId="3D554BF0" w14:textId="77777777" w:rsidR="00AA4058" w:rsidRDefault="00AA4058" w:rsidP="00AA4058">
            <w:pPr>
              <w:pStyle w:val="ListParagraph"/>
              <w:numPr>
                <w:ilvl w:val="0"/>
                <w:numId w:val="1"/>
              </w:numPr>
            </w:pPr>
            <w:r>
              <w:t>Public policy regarding a disease changes over time. This can be modeled by either a time-dependent isolation parameter or a time-dependent rate of infection.</w:t>
            </w:r>
          </w:p>
          <w:p w14:paraId="32C369FE" w14:textId="77777777" w:rsidR="00AA4058" w:rsidRDefault="00AA4058" w:rsidP="00EF4AE4">
            <w:pPr>
              <w:jc w:val="center"/>
            </w:pPr>
          </w:p>
        </w:tc>
      </w:tr>
    </w:tbl>
    <w:p w14:paraId="1FB212D6" w14:textId="0D34DA46" w:rsidR="00EF4AE4" w:rsidRDefault="00626AEF" w:rsidP="00EF4AE4">
      <w:pPr>
        <w:jc w:val="center"/>
      </w:pPr>
      <w:r>
        <w:t>In order to model a</w:t>
      </w:r>
      <w:r w:rsidR="008E4411">
        <w:t xml:space="preserve"> </w:t>
      </w:r>
      <w:r>
        <w:t>scenario</w:t>
      </w:r>
      <w:r w:rsidR="008E4411">
        <w:t xml:space="preserve"> where agents decide to isolate depending on how bad they perceive the epidemic to be</w:t>
      </w:r>
      <w:r w:rsidR="00EF4AE4">
        <w:t xml:space="preserve">, we will implement </w:t>
      </w:r>
      <w:r w:rsidR="00AA4058">
        <w:t xml:space="preserve">a reactionary isolation parameter. In particular, the isolation parameter will be a piecewise function, with zero isolation when less than 5% of the population is infected, </w:t>
      </w:r>
      <w:r>
        <w:t>proportional isolation after 5%, and then a maximum isolation of 9</w:t>
      </w:r>
      <w:r w:rsidR="005249B8">
        <w:t>0</w:t>
      </w:r>
      <w:r>
        <w:t>%, like so:</w:t>
      </w:r>
    </w:p>
    <w:p w14:paraId="04F6AABB" w14:textId="7C2C8C1A" w:rsidR="00626AEF" w:rsidRDefault="005249B8" w:rsidP="00EF4AE4">
      <w:pPr>
        <w:jc w:val="center"/>
      </w:pPr>
      <w:r>
        <w:rPr>
          <w:noProof/>
        </w:rPr>
        <w:drawing>
          <wp:inline distT="0" distB="0" distL="0" distR="0" wp14:anchorId="25987CA0" wp14:editId="65F1D758">
            <wp:extent cx="4572000" cy="274320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D7177FAA-FD8F-4FD9-9641-A2665A618C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5407C8EA" w14:textId="6CC126BF" w:rsidR="005249B8" w:rsidRDefault="005249B8" w:rsidP="00EF4AE4">
      <w:pPr>
        <w:jc w:val="center"/>
      </w:pPr>
      <w:r>
        <w:t xml:space="preserve">Running a simulation with this reactionary </w:t>
      </w:r>
      <w:proofErr w:type="gramStart"/>
      <w:r>
        <w:t xml:space="preserve">isolation, </w:t>
      </w:r>
      <w:r w:rsidR="00315D01">
        <w:t>and</w:t>
      </w:r>
      <w:proofErr w:type="gramEnd"/>
      <w:r w:rsidR="00315D01">
        <w:t xml:space="preserve"> comparing it to both the moderate and major isolation cases, we see</w:t>
      </w:r>
      <w:r w:rsidR="008E4411">
        <w:t xml:space="preserve"> that the reactionary isolation performs </w:t>
      </w:r>
      <w:r w:rsidR="00C1713C">
        <w:t>worse than major isolation and marginally better than moderate isolation.</w:t>
      </w:r>
    </w:p>
    <w:tbl>
      <w:tblPr>
        <w:tblStyle w:val="TableGrid"/>
        <w:tblW w:w="20790" w:type="dxa"/>
        <w:jc w:val="center"/>
        <w:tblLook w:val="04A0" w:firstRow="1" w:lastRow="0" w:firstColumn="1" w:lastColumn="0" w:noHBand="0" w:noVBand="1"/>
      </w:tblPr>
      <w:tblGrid>
        <w:gridCol w:w="6930"/>
        <w:gridCol w:w="6930"/>
        <w:gridCol w:w="6930"/>
      </w:tblGrid>
      <w:tr w:rsidR="00315D01" w14:paraId="52413E60" w14:textId="77777777" w:rsidTr="00315D01">
        <w:trPr>
          <w:trHeight w:val="2507"/>
          <w:jc w:val="center"/>
        </w:trPr>
        <w:tc>
          <w:tcPr>
            <w:tcW w:w="6930" w:type="dxa"/>
          </w:tcPr>
          <w:p w14:paraId="7DB707D8" w14:textId="77777777" w:rsidR="00315D01" w:rsidRDefault="00315D01" w:rsidP="00281B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Moderate Isolation</w:t>
            </w:r>
          </w:p>
          <w:p w14:paraId="71B4E34D" w14:textId="675574F4" w:rsidR="00315D01" w:rsidRPr="00DD2BB7" w:rsidRDefault="00C1713C" w:rsidP="00281B0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4749F7D" wp14:editId="2FBE1FA1">
                  <wp:extent cx="3429000" cy="6858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Moderate Isolation fifty percent.gif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0" w:type="dxa"/>
          </w:tcPr>
          <w:p w14:paraId="772CBBC8" w14:textId="77777777" w:rsidR="00315D01" w:rsidRDefault="00315D01" w:rsidP="00281B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Reactionary Isolation</w:t>
            </w:r>
          </w:p>
          <w:p w14:paraId="17A85FFF" w14:textId="6E4F16E0" w:rsidR="00315D01" w:rsidRDefault="00C1713C" w:rsidP="00281B0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B2D84A3" wp14:editId="3EE107FC">
                  <wp:extent cx="3429000" cy="6858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Reactionary Isolation.gif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0" w:type="dxa"/>
          </w:tcPr>
          <w:p w14:paraId="4380E84D" w14:textId="14B8FC01" w:rsidR="00315D01" w:rsidRDefault="00315D01" w:rsidP="00281B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Major Isolation</w:t>
            </w:r>
          </w:p>
          <w:p w14:paraId="435C9808" w14:textId="3BA2F8BF" w:rsidR="00315D01" w:rsidRPr="00DD2BB7" w:rsidRDefault="00C1713C" w:rsidP="00281B0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62D9040" wp14:editId="268604E9">
                  <wp:extent cx="3429000" cy="6858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Major Isolation ninety percent.gif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1C20A6" w14:textId="67A92390" w:rsidR="00315D01" w:rsidRDefault="00315D01" w:rsidP="00EF4AE4">
      <w:pPr>
        <w:jc w:val="center"/>
      </w:pPr>
    </w:p>
    <w:p w14:paraId="5EC64691" w14:textId="6DB310A9" w:rsidR="008E392E" w:rsidRPr="00EF4AE4" w:rsidRDefault="00C1713C" w:rsidP="00EF4AE4">
      <w:pPr>
        <w:jc w:val="center"/>
      </w:pPr>
      <w:r>
        <w:t>Based on this observation, we see that it is essential to be proactive in ordering isolation in an epidemic. By these results, government shutdowns are justified, even before a significant percentage of citizens have been infected.</w:t>
      </w:r>
    </w:p>
    <w:sectPr w:rsidR="008E392E" w:rsidRPr="00EF4AE4" w:rsidSect="00A8274B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B6E158" w14:textId="77777777" w:rsidR="00C82357" w:rsidRDefault="00C82357" w:rsidP="00A8274B">
      <w:pPr>
        <w:spacing w:line="240" w:lineRule="auto"/>
      </w:pPr>
      <w:r>
        <w:separator/>
      </w:r>
    </w:p>
  </w:endnote>
  <w:endnote w:type="continuationSeparator" w:id="0">
    <w:p w14:paraId="2231B35C" w14:textId="77777777" w:rsidR="00C82357" w:rsidRDefault="00C82357" w:rsidP="00A827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F91790" w14:textId="77777777" w:rsidR="00C82357" w:rsidRDefault="00C82357" w:rsidP="00A8274B">
      <w:pPr>
        <w:spacing w:line="240" w:lineRule="auto"/>
      </w:pPr>
      <w:r>
        <w:separator/>
      </w:r>
    </w:p>
  </w:footnote>
  <w:footnote w:type="continuationSeparator" w:id="0">
    <w:p w14:paraId="6E7AEACA" w14:textId="77777777" w:rsidR="00C82357" w:rsidRDefault="00C82357" w:rsidP="00A8274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6A0A8B"/>
    <w:multiLevelType w:val="hybridMultilevel"/>
    <w:tmpl w:val="6FB05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74B"/>
    <w:rsid w:val="00044EAB"/>
    <w:rsid w:val="00081EB1"/>
    <w:rsid w:val="00315D01"/>
    <w:rsid w:val="004816EB"/>
    <w:rsid w:val="005249B8"/>
    <w:rsid w:val="005B1173"/>
    <w:rsid w:val="005B289A"/>
    <w:rsid w:val="005D6AB0"/>
    <w:rsid w:val="00626AEF"/>
    <w:rsid w:val="006E1678"/>
    <w:rsid w:val="007D49B4"/>
    <w:rsid w:val="008E392E"/>
    <w:rsid w:val="008E4411"/>
    <w:rsid w:val="00955AFA"/>
    <w:rsid w:val="00A8274B"/>
    <w:rsid w:val="00AA4058"/>
    <w:rsid w:val="00B227B9"/>
    <w:rsid w:val="00B552F5"/>
    <w:rsid w:val="00C1713C"/>
    <w:rsid w:val="00C82357"/>
    <w:rsid w:val="00CB5AA4"/>
    <w:rsid w:val="00DD2BB7"/>
    <w:rsid w:val="00EF4AE4"/>
    <w:rsid w:val="00FE5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FE696"/>
  <w15:chartTrackingRefBased/>
  <w15:docId w15:val="{7584230D-3660-42A4-AF79-FB8785BAA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2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274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274B"/>
  </w:style>
  <w:style w:type="paragraph" w:styleId="Footer">
    <w:name w:val="footer"/>
    <w:basedOn w:val="Normal"/>
    <w:link w:val="FooterChar"/>
    <w:uiPriority w:val="99"/>
    <w:unhideWhenUsed/>
    <w:rsid w:val="00A8274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274B"/>
  </w:style>
  <w:style w:type="character" w:styleId="Hyperlink">
    <w:name w:val="Hyperlink"/>
    <w:basedOn w:val="DefaultParagraphFont"/>
    <w:uiPriority w:val="99"/>
    <w:unhideWhenUsed/>
    <w:rsid w:val="00DD2BB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D2BB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2BB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D2BB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4AE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A405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ashingtonpost.com/graphics/2020/world/corona-simulator/" TargetMode="External"/><Relationship Id="rId13" Type="http://schemas.openxmlformats.org/officeDocument/2006/relationships/hyperlink" Target="https://www.r-bloggers.com/animating-schellings-segregation-model/" TargetMode="External"/><Relationship Id="rId18" Type="http://schemas.openxmlformats.org/officeDocument/2006/relationships/image" Target="media/image8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image" Target="media/image7.gif"/><Relationship Id="rId2" Type="http://schemas.openxmlformats.org/officeDocument/2006/relationships/numbering" Target="numbering.xml"/><Relationship Id="rId16" Type="http://schemas.openxmlformats.org/officeDocument/2006/relationships/image" Target="media/image6.gi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5" Type="http://schemas.openxmlformats.org/officeDocument/2006/relationships/webSettings" Target="webSettings.xml"/><Relationship Id="rId15" Type="http://schemas.openxmlformats.org/officeDocument/2006/relationships/chart" Target="charts/chart1.xml"/><Relationship Id="rId10" Type="http://schemas.openxmlformats.org/officeDocument/2006/relationships/image" Target="media/image2.gi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4" Type="http://schemas.openxmlformats.org/officeDocument/2006/relationships/image" Target="media/image5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Reactionary Isolation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Sheet1!$A$2:$A$102</c:f>
              <c:numCache>
                <c:formatCode>0%</c:formatCode>
                <c:ptCount val="10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4.9999999999999975E-2</c:v>
                </c:pt>
                <c:pt idx="7">
                  <c:v>0.10000000000000002</c:v>
                </c:pt>
                <c:pt idx="8">
                  <c:v>0.15</c:v>
                </c:pt>
                <c:pt idx="9">
                  <c:v>0.19999999999999996</c:v>
                </c:pt>
                <c:pt idx="10">
                  <c:v>0.25</c:v>
                </c:pt>
                <c:pt idx="11">
                  <c:v>0.3</c:v>
                </c:pt>
                <c:pt idx="12">
                  <c:v>0.35</c:v>
                </c:pt>
                <c:pt idx="13">
                  <c:v>0.4</c:v>
                </c:pt>
                <c:pt idx="14">
                  <c:v>0.45000000000000007</c:v>
                </c:pt>
                <c:pt idx="15">
                  <c:v>0.49999999999999994</c:v>
                </c:pt>
                <c:pt idx="16">
                  <c:v>0.55000000000000004</c:v>
                </c:pt>
                <c:pt idx="17">
                  <c:v>0.60000000000000009</c:v>
                </c:pt>
                <c:pt idx="18">
                  <c:v>0.65</c:v>
                </c:pt>
                <c:pt idx="19">
                  <c:v>0.70000000000000007</c:v>
                </c:pt>
                <c:pt idx="20">
                  <c:v>0.75000000000000011</c:v>
                </c:pt>
                <c:pt idx="21">
                  <c:v>0.79999999999999982</c:v>
                </c:pt>
                <c:pt idx="22">
                  <c:v>0.84999999999999987</c:v>
                </c:pt>
                <c:pt idx="23">
                  <c:v>0.89999999999999991</c:v>
                </c:pt>
                <c:pt idx="24">
                  <c:v>0.9</c:v>
                </c:pt>
                <c:pt idx="25">
                  <c:v>0.9</c:v>
                </c:pt>
                <c:pt idx="26">
                  <c:v>0.9</c:v>
                </c:pt>
                <c:pt idx="27">
                  <c:v>0.9</c:v>
                </c:pt>
                <c:pt idx="28">
                  <c:v>0.9</c:v>
                </c:pt>
                <c:pt idx="29">
                  <c:v>0.9</c:v>
                </c:pt>
                <c:pt idx="30">
                  <c:v>0.9</c:v>
                </c:pt>
                <c:pt idx="31">
                  <c:v>0.9</c:v>
                </c:pt>
                <c:pt idx="32">
                  <c:v>0.9</c:v>
                </c:pt>
                <c:pt idx="33">
                  <c:v>0.9</c:v>
                </c:pt>
                <c:pt idx="34">
                  <c:v>0.9</c:v>
                </c:pt>
                <c:pt idx="35">
                  <c:v>0.9</c:v>
                </c:pt>
                <c:pt idx="36">
                  <c:v>0.9</c:v>
                </c:pt>
                <c:pt idx="37">
                  <c:v>0.9</c:v>
                </c:pt>
                <c:pt idx="38">
                  <c:v>0.9</c:v>
                </c:pt>
                <c:pt idx="39">
                  <c:v>0.9</c:v>
                </c:pt>
                <c:pt idx="40">
                  <c:v>0.9</c:v>
                </c:pt>
                <c:pt idx="41">
                  <c:v>0.9</c:v>
                </c:pt>
                <c:pt idx="42">
                  <c:v>0.9</c:v>
                </c:pt>
                <c:pt idx="43">
                  <c:v>0.9</c:v>
                </c:pt>
                <c:pt idx="44">
                  <c:v>0.9</c:v>
                </c:pt>
                <c:pt idx="45">
                  <c:v>0.9</c:v>
                </c:pt>
                <c:pt idx="46">
                  <c:v>0.9</c:v>
                </c:pt>
                <c:pt idx="47">
                  <c:v>0.9</c:v>
                </c:pt>
                <c:pt idx="48">
                  <c:v>0.9</c:v>
                </c:pt>
                <c:pt idx="49">
                  <c:v>0.9</c:v>
                </c:pt>
                <c:pt idx="50">
                  <c:v>0.9</c:v>
                </c:pt>
                <c:pt idx="51">
                  <c:v>0.9</c:v>
                </c:pt>
                <c:pt idx="52">
                  <c:v>0.9</c:v>
                </c:pt>
                <c:pt idx="53">
                  <c:v>0.9</c:v>
                </c:pt>
                <c:pt idx="54">
                  <c:v>0.9</c:v>
                </c:pt>
                <c:pt idx="55">
                  <c:v>0.9</c:v>
                </c:pt>
                <c:pt idx="56">
                  <c:v>0.9</c:v>
                </c:pt>
                <c:pt idx="57">
                  <c:v>0.9</c:v>
                </c:pt>
                <c:pt idx="58">
                  <c:v>0.9</c:v>
                </c:pt>
                <c:pt idx="59">
                  <c:v>0.9</c:v>
                </c:pt>
                <c:pt idx="60">
                  <c:v>0.9</c:v>
                </c:pt>
                <c:pt idx="61">
                  <c:v>0.9</c:v>
                </c:pt>
                <c:pt idx="62">
                  <c:v>0.9</c:v>
                </c:pt>
                <c:pt idx="63">
                  <c:v>0.9</c:v>
                </c:pt>
                <c:pt idx="64">
                  <c:v>0.9</c:v>
                </c:pt>
                <c:pt idx="65">
                  <c:v>0.9</c:v>
                </c:pt>
                <c:pt idx="66">
                  <c:v>0.9</c:v>
                </c:pt>
                <c:pt idx="67">
                  <c:v>0.9</c:v>
                </c:pt>
                <c:pt idx="68">
                  <c:v>0.9</c:v>
                </c:pt>
                <c:pt idx="69">
                  <c:v>0.9</c:v>
                </c:pt>
                <c:pt idx="70">
                  <c:v>0.9</c:v>
                </c:pt>
                <c:pt idx="71">
                  <c:v>0.9</c:v>
                </c:pt>
                <c:pt idx="72">
                  <c:v>0.9</c:v>
                </c:pt>
                <c:pt idx="73">
                  <c:v>0.9</c:v>
                </c:pt>
                <c:pt idx="74">
                  <c:v>0.9</c:v>
                </c:pt>
                <c:pt idx="75">
                  <c:v>0.9</c:v>
                </c:pt>
                <c:pt idx="76">
                  <c:v>0.9</c:v>
                </c:pt>
                <c:pt idx="77">
                  <c:v>0.9</c:v>
                </c:pt>
                <c:pt idx="78">
                  <c:v>0.9</c:v>
                </c:pt>
                <c:pt idx="79">
                  <c:v>0.9</c:v>
                </c:pt>
                <c:pt idx="80">
                  <c:v>0.9</c:v>
                </c:pt>
                <c:pt idx="81">
                  <c:v>0.9</c:v>
                </c:pt>
                <c:pt idx="82">
                  <c:v>0.9</c:v>
                </c:pt>
                <c:pt idx="83">
                  <c:v>0.9</c:v>
                </c:pt>
                <c:pt idx="84">
                  <c:v>0.9</c:v>
                </c:pt>
                <c:pt idx="85">
                  <c:v>0.9</c:v>
                </c:pt>
                <c:pt idx="86">
                  <c:v>0.9</c:v>
                </c:pt>
                <c:pt idx="87">
                  <c:v>0.9</c:v>
                </c:pt>
                <c:pt idx="88">
                  <c:v>0.9</c:v>
                </c:pt>
                <c:pt idx="89">
                  <c:v>0.9</c:v>
                </c:pt>
                <c:pt idx="90">
                  <c:v>0.9</c:v>
                </c:pt>
                <c:pt idx="91">
                  <c:v>0.9</c:v>
                </c:pt>
                <c:pt idx="92">
                  <c:v>0.9</c:v>
                </c:pt>
                <c:pt idx="93">
                  <c:v>0.9</c:v>
                </c:pt>
                <c:pt idx="94">
                  <c:v>0.9</c:v>
                </c:pt>
                <c:pt idx="95">
                  <c:v>0.9</c:v>
                </c:pt>
                <c:pt idx="96">
                  <c:v>0.9</c:v>
                </c:pt>
                <c:pt idx="97">
                  <c:v>0.9</c:v>
                </c:pt>
                <c:pt idx="98">
                  <c:v>0.9</c:v>
                </c:pt>
                <c:pt idx="99">
                  <c:v>0.9</c:v>
                </c:pt>
                <c:pt idx="100">
                  <c:v>0.9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65A-46A8-A7A6-9D74207924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35588400"/>
        <c:axId val="269109984"/>
      </c:lineChart>
      <c:catAx>
        <c:axId val="3355884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Percentage</a:t>
                </a:r>
                <a:r>
                  <a:rPr lang="en-US" baseline="0"/>
                  <a:t> of population infected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9109984"/>
        <c:crosses val="autoZero"/>
        <c:auto val="1"/>
        <c:lblAlgn val="ctr"/>
        <c:lblOffset val="100"/>
        <c:noMultiLvlLbl val="0"/>
      </c:catAx>
      <c:valAx>
        <c:axId val="269109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Percentage of Isolation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55884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C87E73-8BD7-4202-960E-F7218841B3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593</Words>
  <Characters>3382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Krawciw</dc:creator>
  <cp:keywords/>
  <dc:description/>
  <cp:lastModifiedBy>Benjamin Krawciw</cp:lastModifiedBy>
  <cp:revision>4</cp:revision>
  <dcterms:created xsi:type="dcterms:W3CDTF">2020-04-22T20:08:00Z</dcterms:created>
  <dcterms:modified xsi:type="dcterms:W3CDTF">2020-04-22T20:12:00Z</dcterms:modified>
</cp:coreProperties>
</file>